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E" w:rsidRDefault="00066B0E">
      <w:bookmarkStart w:id="0" w:name="_GoBack"/>
      <w:bookmarkEnd w:id="0"/>
    </w:p>
    <w:p w:rsidR="00F00E47" w:rsidRDefault="00066B0E" w:rsidP="00066B0E">
      <w:pPr>
        <w:jc w:val="center"/>
      </w:pPr>
      <w:r>
        <w:tab/>
      </w:r>
      <w:r w:rsidRPr="00066B0E">
        <w:rPr>
          <w:rFonts w:ascii="华文细黑" w:eastAsia="华文细黑" w:hAnsi="华文细黑" w:cs="华文细黑" w:hint="eastAsia"/>
          <w:b/>
          <w:bCs/>
          <w:sz w:val="30"/>
          <w:szCs w:val="30"/>
        </w:rPr>
        <w:t>全纳教育校园无障碍设施改建标准</w:t>
      </w:r>
      <w:r w:rsidR="0002742D">
        <w:rPr>
          <w:rStyle w:val="a7"/>
          <w:rFonts w:ascii="华文细黑" w:eastAsia="华文细黑" w:hAnsi="华文细黑" w:cs="华文细黑"/>
          <w:b/>
          <w:bCs/>
          <w:sz w:val="30"/>
          <w:szCs w:val="30"/>
        </w:rPr>
        <w:footnoteReference w:id="1"/>
      </w:r>
    </w:p>
    <w:p w:rsidR="00D020EF" w:rsidRPr="00D020EF" w:rsidRDefault="00D020EF" w:rsidP="00D020EF">
      <w:pPr>
        <w:tabs>
          <w:tab w:val="left" w:pos="1910"/>
        </w:tabs>
        <w:spacing w:line="360" w:lineRule="auto"/>
        <w:rPr>
          <w:sz w:val="24"/>
          <w:szCs w:val="24"/>
        </w:rPr>
      </w:pPr>
      <w:r w:rsidRPr="00D020EF">
        <w:rPr>
          <w:rFonts w:hint="eastAsia"/>
          <w:sz w:val="24"/>
          <w:szCs w:val="24"/>
        </w:rPr>
        <w:t>普通学校无障碍校园环境的营造，既是一种物理环境的改变，更是一种理念上的转变。任何可消除残</w:t>
      </w:r>
      <w:r w:rsidR="003B7FC5">
        <w:rPr>
          <w:rFonts w:hint="eastAsia"/>
          <w:sz w:val="24"/>
          <w:szCs w:val="24"/>
        </w:rPr>
        <w:t>障</w:t>
      </w:r>
      <w:r w:rsidRPr="00D020EF">
        <w:rPr>
          <w:rFonts w:hint="eastAsia"/>
          <w:sz w:val="24"/>
          <w:szCs w:val="24"/>
        </w:rPr>
        <w:t>儿童学习与生活的积极举措都可视作无障碍环境的营造。</w:t>
      </w:r>
      <w:r w:rsidR="009752EC">
        <w:rPr>
          <w:rFonts w:hint="eastAsia"/>
          <w:sz w:val="24"/>
          <w:szCs w:val="24"/>
        </w:rPr>
        <w:t>无障碍设施改建应</w:t>
      </w:r>
      <w:r w:rsidR="002867A4">
        <w:rPr>
          <w:rFonts w:hint="eastAsia"/>
          <w:sz w:val="24"/>
          <w:szCs w:val="24"/>
        </w:rPr>
        <w:t>根据当地残联的要求和</w:t>
      </w:r>
      <w:r w:rsidR="009752EC" w:rsidRPr="009752EC">
        <w:rPr>
          <w:rFonts w:hint="eastAsia"/>
          <w:sz w:val="24"/>
          <w:szCs w:val="24"/>
        </w:rPr>
        <w:t>学校现有情况，在不影响学校建筑物主体结构的情况下，</w:t>
      </w:r>
      <w:r w:rsidR="009752EC">
        <w:rPr>
          <w:rFonts w:hint="eastAsia"/>
          <w:sz w:val="24"/>
          <w:szCs w:val="24"/>
        </w:rPr>
        <w:t>（</w:t>
      </w:r>
      <w:r w:rsidR="002867A4">
        <w:rPr>
          <w:rFonts w:hint="eastAsia"/>
          <w:sz w:val="24"/>
          <w:szCs w:val="24"/>
        </w:rPr>
        <w:t>一</w:t>
      </w:r>
      <w:r w:rsidR="009752EC">
        <w:rPr>
          <w:rFonts w:hint="eastAsia"/>
          <w:sz w:val="24"/>
          <w:szCs w:val="24"/>
        </w:rPr>
        <w:t>）</w:t>
      </w:r>
      <w:r w:rsidR="009752EC" w:rsidRPr="009752EC">
        <w:rPr>
          <w:rFonts w:hint="eastAsia"/>
          <w:sz w:val="24"/>
          <w:szCs w:val="24"/>
        </w:rPr>
        <w:t>有条件设计并增设以下无障碍内容</w:t>
      </w:r>
      <w:r w:rsidR="003B0D4B">
        <w:rPr>
          <w:rFonts w:hint="eastAsia"/>
          <w:sz w:val="24"/>
          <w:szCs w:val="24"/>
        </w:rPr>
        <w:t>（详见附表）</w:t>
      </w:r>
      <w:r w:rsidR="009752EC" w:rsidRPr="009752EC">
        <w:rPr>
          <w:rFonts w:hint="eastAsia"/>
          <w:sz w:val="24"/>
          <w:szCs w:val="24"/>
        </w:rPr>
        <w:t>:</w:t>
      </w:r>
    </w:p>
    <w:p w:rsidR="00066B0E" w:rsidRPr="002867A4" w:rsidRDefault="00066B0E" w:rsidP="00066B0E">
      <w:pPr>
        <w:tabs>
          <w:tab w:val="left" w:pos="1910"/>
        </w:tabs>
      </w:pP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1-</w:t>
      </w:r>
      <w:r w:rsidR="002B4F4D">
        <w:rPr>
          <w:rFonts w:hint="eastAsia"/>
          <w:sz w:val="24"/>
          <w:szCs w:val="24"/>
        </w:rPr>
        <w:t>主要</w:t>
      </w:r>
      <w:r w:rsidRPr="0002742D">
        <w:rPr>
          <w:rFonts w:hint="eastAsia"/>
          <w:sz w:val="24"/>
          <w:szCs w:val="24"/>
        </w:rPr>
        <w:t>建筑物主要出入口为无障碍平坡出入口</w:t>
      </w:r>
      <w:r w:rsidR="007F64BF">
        <w:rPr>
          <w:rFonts w:hint="eastAsia"/>
          <w:sz w:val="24"/>
          <w:szCs w:val="24"/>
        </w:rPr>
        <w:t>。</w:t>
      </w: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2-</w:t>
      </w:r>
      <w:r w:rsidRPr="0002742D">
        <w:rPr>
          <w:rFonts w:hint="eastAsia"/>
          <w:sz w:val="24"/>
          <w:szCs w:val="24"/>
        </w:rPr>
        <w:t>每栋教学楼、学生宿舍楼至少设置一部无障碍楼梯</w:t>
      </w:r>
      <w:r w:rsidR="007F64BF">
        <w:rPr>
          <w:rFonts w:hint="eastAsia"/>
          <w:sz w:val="24"/>
          <w:szCs w:val="24"/>
        </w:rPr>
        <w:t>。</w:t>
      </w: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3-</w:t>
      </w:r>
      <w:r w:rsidRPr="0002742D">
        <w:rPr>
          <w:rFonts w:hint="eastAsia"/>
          <w:sz w:val="24"/>
          <w:szCs w:val="24"/>
        </w:rPr>
        <w:t>每间公共厕所应至少有一处无障碍厕位</w:t>
      </w:r>
      <w:r w:rsidR="007F64BF">
        <w:rPr>
          <w:rFonts w:hint="eastAsia"/>
          <w:sz w:val="24"/>
          <w:szCs w:val="24"/>
        </w:rPr>
        <w:t>。</w:t>
      </w: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4-</w:t>
      </w:r>
      <w:r w:rsidRPr="0002742D">
        <w:rPr>
          <w:rFonts w:hint="eastAsia"/>
          <w:sz w:val="24"/>
          <w:szCs w:val="24"/>
        </w:rPr>
        <w:t>合班教室、报告厅以及公共活动室等应设置有轮椅坐席</w:t>
      </w:r>
      <w:r w:rsidR="007F64BF">
        <w:rPr>
          <w:rFonts w:hint="eastAsia"/>
          <w:sz w:val="24"/>
          <w:szCs w:val="24"/>
        </w:rPr>
        <w:t>。</w:t>
      </w: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5-</w:t>
      </w:r>
      <w:r w:rsidRPr="0002742D">
        <w:rPr>
          <w:rFonts w:hint="eastAsia"/>
          <w:sz w:val="24"/>
          <w:szCs w:val="24"/>
        </w:rPr>
        <w:t>寄宿学校设有供残障人士使用的</w:t>
      </w:r>
      <w:r w:rsidR="007F64BF">
        <w:rPr>
          <w:rFonts w:hint="eastAsia"/>
          <w:sz w:val="24"/>
          <w:szCs w:val="24"/>
        </w:rPr>
        <w:t>宿舍。</w:t>
      </w:r>
    </w:p>
    <w:p w:rsidR="00066B0E" w:rsidRPr="0002742D" w:rsidRDefault="00066B0E" w:rsidP="003B0D4B">
      <w:pPr>
        <w:tabs>
          <w:tab w:val="left" w:pos="1910"/>
        </w:tabs>
        <w:spacing w:line="360" w:lineRule="auto"/>
        <w:ind w:leftChars="200" w:left="420"/>
        <w:rPr>
          <w:sz w:val="24"/>
          <w:szCs w:val="24"/>
        </w:rPr>
      </w:pPr>
      <w:r w:rsidRPr="0002742D">
        <w:rPr>
          <w:rFonts w:hint="eastAsia"/>
          <w:sz w:val="24"/>
          <w:szCs w:val="24"/>
        </w:rPr>
        <w:t>6-</w:t>
      </w:r>
      <w:r w:rsidRPr="0002742D">
        <w:rPr>
          <w:rFonts w:hint="eastAsia"/>
          <w:sz w:val="24"/>
          <w:szCs w:val="24"/>
        </w:rPr>
        <w:t>无障碍标志能清楚地指明无障碍设施的走向及位置。</w:t>
      </w:r>
    </w:p>
    <w:p w:rsidR="009752EC" w:rsidRDefault="009752EC" w:rsidP="009752EC">
      <w:pPr>
        <w:tabs>
          <w:tab w:val="left" w:pos="1910"/>
        </w:tabs>
      </w:pPr>
    </w:p>
    <w:p w:rsidR="009752EC" w:rsidRPr="009752EC" w:rsidRDefault="003B0D4B" w:rsidP="009752EC">
      <w:pPr>
        <w:tabs>
          <w:tab w:val="left" w:pos="191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在满足以上条件的基础上，</w:t>
      </w:r>
      <w:r w:rsidR="009752EC" w:rsidRPr="009752EC">
        <w:rPr>
          <w:rFonts w:hint="eastAsia"/>
          <w:sz w:val="24"/>
          <w:szCs w:val="24"/>
        </w:rPr>
        <w:t>（</w:t>
      </w:r>
      <w:r w:rsidR="002867A4">
        <w:rPr>
          <w:rFonts w:hint="eastAsia"/>
          <w:sz w:val="24"/>
          <w:szCs w:val="24"/>
        </w:rPr>
        <w:t>二</w:t>
      </w:r>
      <w:r w:rsidR="009752EC" w:rsidRPr="009752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根据学校残障学生需求，增设资源教室设施设备。。资源教室设施设备的配备应与《</w:t>
      </w:r>
      <w:r w:rsidRPr="002867A4">
        <w:rPr>
          <w:rFonts w:hint="eastAsia"/>
          <w:sz w:val="24"/>
          <w:szCs w:val="24"/>
        </w:rPr>
        <w:t>普通学校特殊教育资源教室建设指南（教育部</w:t>
      </w:r>
      <w:r w:rsidR="002867A4" w:rsidRPr="002867A4">
        <w:rPr>
          <w:rFonts w:hint="eastAsia"/>
          <w:sz w:val="24"/>
          <w:szCs w:val="24"/>
        </w:rPr>
        <w:t>基教二厅【</w:t>
      </w:r>
      <w:r w:rsidR="002867A4" w:rsidRPr="002867A4">
        <w:rPr>
          <w:rFonts w:hint="eastAsia"/>
          <w:sz w:val="24"/>
          <w:szCs w:val="24"/>
        </w:rPr>
        <w:t>2016</w:t>
      </w:r>
      <w:r w:rsidR="002867A4" w:rsidRPr="002867A4">
        <w:rPr>
          <w:rFonts w:hint="eastAsia"/>
          <w:sz w:val="24"/>
          <w:szCs w:val="24"/>
        </w:rPr>
        <w:t>】</w:t>
      </w:r>
      <w:r w:rsidR="002867A4" w:rsidRPr="002867A4">
        <w:rPr>
          <w:rFonts w:hint="eastAsia"/>
          <w:sz w:val="24"/>
          <w:szCs w:val="24"/>
        </w:rPr>
        <w:t>1</w:t>
      </w:r>
      <w:r w:rsidR="002867A4" w:rsidRPr="002867A4">
        <w:rPr>
          <w:rFonts w:hint="eastAsia"/>
          <w:sz w:val="24"/>
          <w:szCs w:val="24"/>
        </w:rPr>
        <w:t>号</w:t>
      </w:r>
      <w:r w:rsidRPr="002867A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》</w:t>
      </w:r>
      <w:r w:rsidR="002867A4">
        <w:rPr>
          <w:rFonts w:hint="eastAsia"/>
          <w:sz w:val="24"/>
          <w:szCs w:val="24"/>
        </w:rPr>
        <w:t>的要求一致。</w:t>
      </w:r>
    </w:p>
    <w:p w:rsidR="00066B0E" w:rsidRDefault="00066B0E" w:rsidP="00066B0E">
      <w:pPr>
        <w:tabs>
          <w:tab w:val="left" w:pos="1910"/>
        </w:tabs>
      </w:pPr>
    </w:p>
    <w:p w:rsidR="003B0D4B" w:rsidRPr="002867A4" w:rsidRDefault="002867A4" w:rsidP="002867A4">
      <w:pPr>
        <w:tabs>
          <w:tab w:val="left" w:pos="1910"/>
        </w:tabs>
        <w:spacing w:line="360" w:lineRule="auto"/>
        <w:rPr>
          <w:sz w:val="24"/>
          <w:szCs w:val="24"/>
        </w:rPr>
      </w:pPr>
      <w:r w:rsidRPr="002867A4">
        <w:rPr>
          <w:rFonts w:hint="eastAsia"/>
          <w:sz w:val="24"/>
          <w:szCs w:val="24"/>
        </w:rPr>
        <w:t>无障碍设施改建应以满足条件（</w:t>
      </w:r>
      <w:r>
        <w:rPr>
          <w:rFonts w:hint="eastAsia"/>
          <w:sz w:val="24"/>
          <w:szCs w:val="24"/>
        </w:rPr>
        <w:t>一</w:t>
      </w:r>
      <w:r w:rsidRPr="002867A4">
        <w:rPr>
          <w:rFonts w:hint="eastAsia"/>
          <w:sz w:val="24"/>
          <w:szCs w:val="24"/>
        </w:rPr>
        <w:t>）为首要</w:t>
      </w:r>
      <w:r>
        <w:rPr>
          <w:rFonts w:hint="eastAsia"/>
          <w:sz w:val="24"/>
          <w:szCs w:val="24"/>
        </w:rPr>
        <w:t>考虑。</w:t>
      </w:r>
    </w:p>
    <w:p w:rsidR="003B0D4B" w:rsidRDefault="003B0D4B" w:rsidP="00066B0E">
      <w:pPr>
        <w:tabs>
          <w:tab w:val="left" w:pos="1910"/>
        </w:tabs>
      </w:pPr>
    </w:p>
    <w:p w:rsidR="003B0D4B" w:rsidRDefault="003B0D4B" w:rsidP="00066B0E">
      <w:pPr>
        <w:tabs>
          <w:tab w:val="left" w:pos="1910"/>
        </w:tabs>
      </w:pPr>
    </w:p>
    <w:p w:rsidR="003B0D4B" w:rsidRDefault="003B0D4B" w:rsidP="00066B0E">
      <w:pPr>
        <w:tabs>
          <w:tab w:val="left" w:pos="1910"/>
        </w:tabs>
      </w:pPr>
    </w:p>
    <w:p w:rsidR="00780B00" w:rsidRDefault="00780B00" w:rsidP="00066B0E">
      <w:pPr>
        <w:tabs>
          <w:tab w:val="left" w:pos="1910"/>
        </w:tabs>
      </w:pPr>
    </w:p>
    <w:p w:rsidR="00780B00" w:rsidRDefault="00780B00" w:rsidP="00066B0E">
      <w:pPr>
        <w:tabs>
          <w:tab w:val="left" w:pos="1910"/>
        </w:tabs>
      </w:pPr>
    </w:p>
    <w:p w:rsidR="00780B00" w:rsidRDefault="00780B00" w:rsidP="00066B0E">
      <w:pPr>
        <w:tabs>
          <w:tab w:val="left" w:pos="1910"/>
        </w:tabs>
      </w:pPr>
    </w:p>
    <w:p w:rsidR="00780B00" w:rsidRDefault="00780B00" w:rsidP="00066B0E">
      <w:pPr>
        <w:tabs>
          <w:tab w:val="left" w:pos="1910"/>
        </w:tabs>
      </w:pPr>
    </w:p>
    <w:p w:rsidR="00780B00" w:rsidRDefault="00780B00" w:rsidP="00066B0E">
      <w:pPr>
        <w:tabs>
          <w:tab w:val="left" w:pos="1910"/>
        </w:tabs>
      </w:pPr>
    </w:p>
    <w:p w:rsidR="003B0D4B" w:rsidRDefault="003B0D4B" w:rsidP="00066B0E">
      <w:pPr>
        <w:tabs>
          <w:tab w:val="left" w:pos="1910"/>
        </w:tabs>
      </w:pPr>
    </w:p>
    <w:p w:rsidR="00066B0E" w:rsidRDefault="00066B0E" w:rsidP="00066B0E">
      <w:pPr>
        <w:tabs>
          <w:tab w:val="left" w:pos="1910"/>
        </w:tabs>
        <w:rPr>
          <w:rFonts w:ascii="华文细黑" w:eastAsia="华文细黑" w:hAnsi="华文细黑" w:cs="华文细黑"/>
          <w:b/>
          <w:bCs/>
          <w:color w:val="333333"/>
        </w:rPr>
      </w:pPr>
      <w:r>
        <w:rPr>
          <w:rFonts w:ascii="华文细黑" w:eastAsia="华文细黑" w:hAnsi="华文细黑" w:cs="华文细黑" w:hint="eastAsia"/>
          <w:b/>
          <w:bCs/>
          <w:color w:val="333333"/>
        </w:rPr>
        <w:t>附表</w:t>
      </w:r>
      <w:r w:rsidR="002867A4">
        <w:rPr>
          <w:rFonts w:ascii="华文细黑" w:eastAsia="华文细黑" w:hAnsi="华文细黑" w:cs="华文细黑" w:hint="eastAsia"/>
          <w:b/>
          <w:bCs/>
          <w:color w:val="333333"/>
        </w:rPr>
        <w:t>1</w:t>
      </w:r>
      <w:r>
        <w:rPr>
          <w:rFonts w:ascii="华文细黑" w:eastAsia="华文细黑" w:hAnsi="华文细黑" w:cs="华文细黑" w:hint="eastAsia"/>
          <w:b/>
          <w:bCs/>
          <w:color w:val="333333"/>
        </w:rPr>
        <w:t>：全纳校园无障碍设计规范</w:t>
      </w:r>
    </w:p>
    <w:p w:rsidR="00066B0E" w:rsidRDefault="00066B0E" w:rsidP="00066B0E">
      <w:pPr>
        <w:tabs>
          <w:tab w:val="left" w:pos="1910"/>
        </w:tabs>
        <w:rPr>
          <w:rFonts w:ascii="华文细黑" w:eastAsia="华文细黑" w:hAnsi="华文细黑" w:cs="华文细黑"/>
          <w:b/>
          <w:bCs/>
          <w:color w:val="333333"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  <w:color w:val="333333"/>
        </w:rPr>
      </w:pPr>
      <w:r>
        <w:rPr>
          <w:rFonts w:ascii="华文细黑" w:eastAsia="华文细黑" w:hAnsi="华文细黑" w:cs="华文细黑"/>
          <w:b/>
          <w:bCs/>
          <w:color w:val="333333"/>
        </w:rPr>
        <w:t>1-</w:t>
      </w:r>
      <w:r>
        <w:rPr>
          <w:rFonts w:ascii="华文细黑" w:eastAsia="华文细黑" w:hAnsi="华文细黑" w:cs="华文细黑" w:hint="eastAsia"/>
          <w:b/>
          <w:bCs/>
          <w:color w:val="333333"/>
        </w:rPr>
        <w:t>无障碍出入口（平坡）坡道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1.1 </w:t>
      </w:r>
      <w:r>
        <w:rPr>
          <w:rFonts w:ascii="华文细黑" w:eastAsia="华文细黑" w:hAnsi="华文细黑" w:cs="华文细黑" w:hint="eastAsia"/>
          <w:color w:val="333333"/>
        </w:rPr>
        <w:t>供轮椅通行的坡道应设计成直线形，直角形或者折返形。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1.2</w:t>
      </w:r>
      <w:r>
        <w:rPr>
          <w:rFonts w:ascii="华文细黑" w:eastAsia="华文细黑" w:hAnsi="华文细黑" w:cs="华文细黑" w:hint="eastAsia"/>
          <w:color w:val="333333"/>
        </w:rPr>
        <w:t>供轮椅通行的坡道面层应平整、防滑、无反光。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1.3</w:t>
      </w:r>
      <w:r>
        <w:rPr>
          <w:rFonts w:ascii="华文细黑" w:eastAsia="华文细黑" w:hAnsi="华文细黑" w:cs="华文细黑" w:hint="eastAsia"/>
          <w:color w:val="333333"/>
        </w:rPr>
        <w:t>在坡道起点及终点应留有深度不小于</w:t>
      </w:r>
      <w:r>
        <w:rPr>
          <w:rFonts w:ascii="华文细黑" w:eastAsia="华文细黑" w:hAnsi="华文细黑" w:cs="华文细黑"/>
          <w:color w:val="333333"/>
        </w:rPr>
        <w:t>1.50m</w:t>
      </w:r>
      <w:r>
        <w:rPr>
          <w:rFonts w:ascii="华文细黑" w:eastAsia="华文细黑" w:hAnsi="华文细黑" w:cs="华文细黑" w:hint="eastAsia"/>
          <w:color w:val="333333"/>
        </w:rPr>
        <w:t>的轮椅缓冲地带。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lastRenderedPageBreak/>
        <w:t>1.4</w:t>
      </w:r>
      <w:r>
        <w:rPr>
          <w:rFonts w:ascii="华文细黑" w:eastAsia="华文细黑" w:hAnsi="华文细黑" w:cs="华文细黑" w:hint="eastAsia"/>
          <w:color w:val="333333"/>
        </w:rPr>
        <w:t>建筑入口的坡道宽度不应小于</w:t>
      </w:r>
      <w:r>
        <w:rPr>
          <w:rFonts w:ascii="华文细黑" w:eastAsia="华文细黑" w:hAnsi="华文细黑" w:cs="华文细黑"/>
          <w:color w:val="333333"/>
        </w:rPr>
        <w:t>1.20m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1.5</w:t>
      </w:r>
      <w:r>
        <w:rPr>
          <w:rFonts w:ascii="华文细黑" w:eastAsia="华文细黑" w:hAnsi="华文细黑" w:cs="华文细黑" w:hint="eastAsia"/>
          <w:color w:val="333333"/>
        </w:rPr>
        <w:t>建筑入口及室内坡道的坡度：高度不大于1.2m时，坡度不大于1:20；高度不大于0.9m时，坡度不大于1:16；高度不大于0.75m时，坡度不大于1:12；高度不大于0.6m时，坡度不大于1:10；高度不大于0.3m时，坡度不大于1:8。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 w:hint="eastAsia"/>
          <w:color w:val="333333"/>
        </w:rPr>
        <w:t>1.6无障碍出入口门开启状态下出入口平台的净深不应小于1.5m。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 w:hint="eastAsia"/>
          <w:color w:val="333333"/>
        </w:rPr>
        <w:t>1.7无障碍坡道上方应设置雨篷，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 w:hint="eastAsia"/>
          <w:color w:val="333333"/>
        </w:rPr>
        <w:t>1.8坡道高度大于300mm，坡度大于1:20时应两侧设置扶手，扶手应连贯。</w:t>
      </w:r>
    </w:p>
    <w:p w:rsidR="00066B0E" w:rsidRDefault="00066B0E" w:rsidP="00066B0E">
      <w:pPr>
        <w:rPr>
          <w:rFonts w:ascii="华文细黑" w:eastAsia="华文细黑" w:hAnsi="华文细黑" w:cs="Times New Roman"/>
          <w:color w:val="333333"/>
          <w:sz w:val="10"/>
          <w:szCs w:val="10"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  <w:color w:val="333333"/>
        </w:rPr>
      </w:pPr>
      <w:r>
        <w:rPr>
          <w:rFonts w:ascii="华文细黑" w:eastAsia="华文细黑" w:hAnsi="华文细黑" w:cs="华文细黑"/>
          <w:b/>
          <w:bCs/>
          <w:color w:val="333333"/>
        </w:rPr>
        <w:t>2-</w:t>
      </w:r>
      <w:r>
        <w:rPr>
          <w:rFonts w:ascii="华文细黑" w:eastAsia="华文细黑" w:hAnsi="华文细黑" w:cs="华文细黑" w:hint="eastAsia"/>
          <w:b/>
          <w:bCs/>
          <w:color w:val="333333"/>
        </w:rPr>
        <w:t>无障碍楼梯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2.1</w:t>
      </w:r>
      <w:r w:rsidR="0002742D">
        <w:rPr>
          <w:rFonts w:ascii="华文细黑" w:eastAsia="华文细黑" w:hAnsi="华文细黑" w:cs="华文细黑" w:hint="eastAsia"/>
          <w:color w:val="333333"/>
        </w:rPr>
        <w:t xml:space="preserve"> 两侧设置扶手，且设置扶手后楼梯净宽不小于1800mm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2.2</w:t>
      </w:r>
      <w:r w:rsidR="0002742D">
        <w:rPr>
          <w:rFonts w:ascii="华文细黑" w:eastAsia="华文细黑" w:hAnsi="华文细黑" w:cs="华文细黑" w:hint="eastAsia"/>
          <w:color w:val="333333"/>
        </w:rPr>
        <w:t xml:space="preserve"> 踏面平整防滑或在踏面前缘设置防滑条。</w:t>
      </w:r>
      <w:r>
        <w:rPr>
          <w:rFonts w:ascii="华文细黑" w:eastAsia="华文细黑" w:hAnsi="华文细黑" w:cs="华文细黑"/>
          <w:color w:val="333333"/>
        </w:rPr>
        <w:t xml:space="preserve"> 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>2.3</w:t>
      </w:r>
      <w:r w:rsidR="0002742D">
        <w:rPr>
          <w:rFonts w:ascii="华文细黑" w:eastAsia="华文细黑" w:hAnsi="华文细黑" w:cs="华文细黑" w:hint="eastAsia"/>
          <w:color w:val="333333"/>
        </w:rPr>
        <w:t xml:space="preserve"> 踏面和踢面或上下台阶的颜色宜有区分和对比。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2.4 </w:t>
      </w:r>
      <w:r>
        <w:rPr>
          <w:rFonts w:ascii="华文细黑" w:eastAsia="华文细黑" w:hAnsi="华文细黑" w:cs="华文细黑" w:hint="eastAsia"/>
          <w:color w:val="333333"/>
        </w:rPr>
        <w:t>踏步</w:t>
      </w:r>
      <w:r w:rsidR="0002742D">
        <w:rPr>
          <w:rFonts w:ascii="华文细黑" w:eastAsia="华文细黑" w:hAnsi="华文细黑" w:cs="华文细黑" w:hint="eastAsia"/>
          <w:color w:val="333333"/>
        </w:rPr>
        <w:t>宽度不小于280mm，高度不大于160mm； 室外踏步的尺寸</w:t>
      </w:r>
      <w:r>
        <w:rPr>
          <w:rFonts w:ascii="华文细黑" w:eastAsia="华文细黑" w:hAnsi="华文细黑" w:cs="华文细黑" w:hint="eastAsia"/>
          <w:color w:val="333333"/>
        </w:rPr>
        <w:t>宽度不宜小于</w:t>
      </w:r>
      <w:r>
        <w:rPr>
          <w:rFonts w:ascii="华文细黑" w:eastAsia="华文细黑" w:hAnsi="华文细黑" w:cs="华文细黑"/>
          <w:color w:val="333333"/>
        </w:rPr>
        <w:t>300mm</w:t>
      </w:r>
      <w:r>
        <w:rPr>
          <w:rFonts w:ascii="华文细黑" w:eastAsia="华文细黑" w:hAnsi="华文细黑" w:cs="华文细黑" w:hint="eastAsia"/>
          <w:color w:val="333333"/>
        </w:rPr>
        <w:t>，踏步高度不宜大于</w:t>
      </w:r>
      <w:r>
        <w:rPr>
          <w:rFonts w:ascii="华文细黑" w:eastAsia="华文细黑" w:hAnsi="华文细黑" w:cs="华文细黑"/>
          <w:color w:val="333333"/>
        </w:rPr>
        <w:t>150mm</w:t>
      </w:r>
      <w:r>
        <w:rPr>
          <w:rFonts w:ascii="华文细黑" w:eastAsia="华文细黑" w:hAnsi="华文细黑" w:cs="华文细黑" w:hint="eastAsia"/>
          <w:color w:val="333333"/>
        </w:rPr>
        <w:t>，并不小于</w:t>
      </w:r>
      <w:r>
        <w:rPr>
          <w:rFonts w:ascii="华文细黑" w:eastAsia="华文细黑" w:hAnsi="华文细黑" w:cs="华文细黑"/>
          <w:color w:val="333333"/>
        </w:rPr>
        <w:t>100mm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rPr>
          <w:rFonts w:ascii="华文细黑" w:eastAsia="华文细黑" w:hAnsi="华文细黑" w:cs="华文细黑"/>
          <w:b/>
          <w:bCs/>
          <w:color w:val="333333"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  <w:color w:val="333333"/>
        </w:rPr>
      </w:pPr>
      <w:r>
        <w:rPr>
          <w:rFonts w:ascii="华文细黑" w:eastAsia="华文细黑" w:hAnsi="华文细黑" w:cs="华文细黑"/>
          <w:b/>
          <w:bCs/>
          <w:color w:val="333333"/>
        </w:rPr>
        <w:t>3-</w:t>
      </w:r>
      <w:r>
        <w:rPr>
          <w:rFonts w:ascii="华文细黑" w:eastAsia="华文细黑" w:hAnsi="华文细黑" w:cs="华文细黑" w:hint="eastAsia"/>
          <w:b/>
          <w:bCs/>
          <w:color w:val="333333"/>
        </w:rPr>
        <w:t>无障碍厕所（厕位）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3.1 </w:t>
      </w:r>
      <w:r>
        <w:rPr>
          <w:rFonts w:ascii="华文细黑" w:eastAsia="华文细黑" w:hAnsi="华文细黑" w:cs="华文细黑" w:hint="eastAsia"/>
          <w:color w:val="333333"/>
        </w:rPr>
        <w:t>入口和通道方便乘轮椅者进入和进行回转，回转直径不小于</w:t>
      </w:r>
      <w:r>
        <w:rPr>
          <w:rFonts w:ascii="华文细黑" w:eastAsia="华文细黑" w:hAnsi="华文细黑" w:cs="华文细黑"/>
          <w:color w:val="333333"/>
        </w:rPr>
        <w:t>15</w:t>
      </w:r>
      <w:r>
        <w:rPr>
          <w:rFonts w:ascii="华文细黑" w:eastAsia="华文细黑" w:hAnsi="华文细黑" w:cs="华文细黑" w:hint="eastAsia"/>
          <w:color w:val="333333"/>
        </w:rPr>
        <w:t>00m</w:t>
      </w:r>
      <w:r>
        <w:rPr>
          <w:rFonts w:ascii="华文细黑" w:eastAsia="华文细黑" w:hAnsi="华文细黑" w:cs="华文细黑"/>
          <w:color w:val="333333"/>
        </w:rPr>
        <w:t>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3.2 </w:t>
      </w:r>
      <w:r>
        <w:rPr>
          <w:rFonts w:ascii="华文细黑" w:eastAsia="华文细黑" w:hAnsi="华文细黑" w:cs="华文细黑" w:hint="eastAsia"/>
          <w:color w:val="333333"/>
        </w:rPr>
        <w:t>洗手间的地面应平整、防滑、不积水，没有高低差。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3.3 </w:t>
      </w:r>
      <w:r>
        <w:rPr>
          <w:rFonts w:ascii="华文细黑" w:eastAsia="华文细黑" w:hAnsi="华文细黑" w:cs="华文细黑" w:hint="eastAsia"/>
          <w:color w:val="333333"/>
        </w:rPr>
        <w:t>无障碍应采用平开门，门扇宜向外开启，开门执手应采用横执把手。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3.4 </w:t>
      </w:r>
      <w:r>
        <w:rPr>
          <w:rFonts w:ascii="华文细黑" w:eastAsia="华文细黑" w:hAnsi="华文细黑" w:cs="华文细黑" w:hint="eastAsia"/>
          <w:color w:val="333333"/>
        </w:rPr>
        <w:t>专用无障碍洗手间或厕位设无障碍坐便器。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3.5 </w:t>
      </w:r>
      <w:r>
        <w:rPr>
          <w:rFonts w:ascii="华文细黑" w:eastAsia="华文细黑" w:hAnsi="华文细黑" w:cs="华文细黑" w:hint="eastAsia"/>
          <w:color w:val="333333"/>
        </w:rPr>
        <w:t>洗手间供残障人士使用的小便器下口的高度不应大于</w:t>
      </w:r>
      <w:r>
        <w:rPr>
          <w:rFonts w:ascii="华文细黑" w:eastAsia="华文细黑" w:hAnsi="华文细黑" w:cs="华文细黑"/>
          <w:color w:val="333333"/>
        </w:rPr>
        <w:t>0.50m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3.6 </w:t>
      </w:r>
      <w:r>
        <w:rPr>
          <w:rFonts w:ascii="华文细黑" w:eastAsia="华文细黑" w:hAnsi="华文细黑" w:cs="华文细黑" w:hint="eastAsia"/>
          <w:color w:val="333333"/>
        </w:rPr>
        <w:t>坐便器、小便器和洗手盆周围设置安全抓杆。抓杆安装坚固，应能承受身体的重量。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3.7 </w:t>
      </w:r>
      <w:r>
        <w:rPr>
          <w:rFonts w:ascii="华文细黑" w:eastAsia="华文细黑" w:hAnsi="华文细黑" w:cs="华文细黑" w:hint="eastAsia"/>
          <w:color w:val="333333"/>
        </w:rPr>
        <w:t>专用洗手间必须设置应急呼叫按钮。</w:t>
      </w:r>
    </w:p>
    <w:p w:rsidR="00066B0E" w:rsidRDefault="00066B0E" w:rsidP="00066B0E">
      <w:pPr>
        <w:rPr>
          <w:rFonts w:ascii="华文细黑" w:eastAsia="华文细黑" w:hAnsi="华文细黑" w:cs="华文细黑"/>
          <w:b/>
          <w:bCs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</w:rPr>
      </w:pPr>
      <w:r>
        <w:rPr>
          <w:rFonts w:ascii="华文细黑" w:eastAsia="华文细黑" w:hAnsi="华文细黑" w:cs="华文细黑"/>
          <w:b/>
          <w:bCs/>
        </w:rPr>
        <w:t>4-</w:t>
      </w:r>
      <w:r>
        <w:rPr>
          <w:rFonts w:ascii="华文细黑" w:eastAsia="华文细黑" w:hAnsi="华文细黑" w:cs="华文细黑" w:hint="eastAsia"/>
          <w:b/>
          <w:bCs/>
        </w:rPr>
        <w:t>轮椅席位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4.1 </w:t>
      </w:r>
      <w:r>
        <w:rPr>
          <w:rFonts w:ascii="华文细黑" w:eastAsia="华文细黑" w:hAnsi="华文细黑" w:cs="华文细黑" w:hint="eastAsia"/>
          <w:color w:val="333333"/>
        </w:rPr>
        <w:t>轮椅席位应设在便于到达疏散口及通道的附近，不得设在公共通道范围内。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华文细黑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4.2 </w:t>
      </w:r>
      <w:r>
        <w:rPr>
          <w:rFonts w:ascii="华文细黑" w:eastAsia="华文细黑" w:hAnsi="华文细黑" w:cs="华文细黑" w:hint="eastAsia"/>
          <w:color w:val="333333"/>
        </w:rPr>
        <w:t>通往轮椅席位的通道宽度不应小于</w:t>
      </w:r>
      <w:r>
        <w:rPr>
          <w:rFonts w:ascii="华文细黑" w:eastAsia="华文细黑" w:hAnsi="华文细黑" w:cs="华文细黑"/>
          <w:color w:val="333333"/>
        </w:rPr>
        <w:t>1.20m</w:t>
      </w:r>
      <w:r>
        <w:rPr>
          <w:rFonts w:ascii="华文细黑" w:eastAsia="华文细黑" w:hAnsi="华文细黑" w:cs="华文细黑" w:hint="eastAsia"/>
          <w:color w:val="333333"/>
        </w:rPr>
        <w:t>。</w:t>
      </w:r>
      <w:r>
        <w:rPr>
          <w:rFonts w:ascii="华文细黑" w:eastAsia="华文细黑" w:hAnsi="华文细黑" w:cs="华文细黑"/>
          <w:color w:val="333333"/>
        </w:rPr>
        <w:t xml:space="preserve"> 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4.3 </w:t>
      </w:r>
      <w:r>
        <w:rPr>
          <w:rFonts w:ascii="华文细黑" w:eastAsia="华文细黑" w:hAnsi="华文细黑" w:cs="华文细黑" w:hint="eastAsia"/>
          <w:color w:val="333333"/>
        </w:rPr>
        <w:t>地面平整、防滑，在边缘处宜安装栏杆或栏板。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4.4 </w:t>
      </w:r>
      <w:r>
        <w:rPr>
          <w:rFonts w:ascii="华文细黑" w:eastAsia="华文细黑" w:hAnsi="华文细黑" w:cs="华文细黑" w:hint="eastAsia"/>
          <w:color w:val="333333"/>
        </w:rPr>
        <w:t>每个轮椅席位占地面积不应小于</w:t>
      </w:r>
      <w:r>
        <w:rPr>
          <w:rFonts w:ascii="华文细黑" w:eastAsia="华文细黑" w:hAnsi="华文细黑" w:cs="华文细黑"/>
          <w:color w:val="333333"/>
        </w:rPr>
        <w:t>1.10mx0.80m</w:t>
      </w:r>
      <w:r>
        <w:rPr>
          <w:rFonts w:ascii="华文细黑" w:eastAsia="华文细黑" w:hAnsi="华文细黑" w:cs="华文细黑" w:hint="eastAsia"/>
          <w:color w:val="333333"/>
        </w:rPr>
        <w:t>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4.5 </w:t>
      </w:r>
      <w:r>
        <w:rPr>
          <w:rFonts w:ascii="华文细黑" w:eastAsia="华文细黑" w:hAnsi="华文细黑" w:cs="华文细黑" w:hint="eastAsia"/>
          <w:color w:val="333333"/>
        </w:rPr>
        <w:t>轮椅席位与其他席位相互不遮挡。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4.6 </w:t>
      </w:r>
      <w:r>
        <w:rPr>
          <w:rFonts w:ascii="华文细黑" w:eastAsia="华文细黑" w:hAnsi="华文细黑" w:cs="华文细黑" w:hint="eastAsia"/>
          <w:color w:val="333333"/>
        </w:rPr>
        <w:t>该教室内不少于两个轮椅席位。</w:t>
      </w:r>
    </w:p>
    <w:p w:rsidR="00066B0E" w:rsidRDefault="00066B0E" w:rsidP="00066B0E">
      <w:pPr>
        <w:rPr>
          <w:rFonts w:ascii="华文细黑" w:eastAsia="华文细黑" w:hAnsi="华文细黑" w:cs="Times New Roman"/>
          <w:color w:val="333333"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</w:rPr>
      </w:pPr>
      <w:r>
        <w:rPr>
          <w:rFonts w:ascii="华文细黑" w:eastAsia="华文细黑" w:hAnsi="华文细黑" w:cs="华文细黑"/>
          <w:b/>
          <w:bCs/>
        </w:rPr>
        <w:t>5-</w:t>
      </w:r>
      <w:r>
        <w:rPr>
          <w:rFonts w:ascii="华文细黑" w:eastAsia="华文细黑" w:hAnsi="华文细黑" w:cs="华文细黑" w:hint="eastAsia"/>
          <w:b/>
          <w:bCs/>
        </w:rPr>
        <w:t>无障碍宿舍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5.1 </w:t>
      </w:r>
      <w:r>
        <w:rPr>
          <w:rFonts w:ascii="华文细黑" w:eastAsia="华文细黑" w:hAnsi="华文细黑" w:cs="华文细黑" w:hint="eastAsia"/>
          <w:color w:val="333333"/>
        </w:rPr>
        <w:t>主要出入口符合第</w:t>
      </w:r>
      <w:r>
        <w:rPr>
          <w:rFonts w:ascii="华文细黑" w:eastAsia="华文细黑" w:hAnsi="华文细黑" w:cs="华文细黑"/>
          <w:color w:val="333333"/>
        </w:rPr>
        <w:t>1</w:t>
      </w:r>
      <w:r>
        <w:rPr>
          <w:rFonts w:ascii="华文细黑" w:eastAsia="华文细黑" w:hAnsi="华文细黑" w:cs="华文细黑" w:hint="eastAsia"/>
          <w:color w:val="333333"/>
        </w:rPr>
        <w:t>条规定。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5.2 </w:t>
      </w:r>
      <w:r>
        <w:rPr>
          <w:rFonts w:ascii="华文细黑" w:eastAsia="华文细黑" w:hAnsi="华文细黑" w:cs="华文细黑" w:hint="eastAsia"/>
          <w:color w:val="333333"/>
        </w:rPr>
        <w:t>通往住房的楼梯，至少有一部符合第</w:t>
      </w:r>
      <w:r>
        <w:rPr>
          <w:rFonts w:ascii="华文细黑" w:eastAsia="华文细黑" w:hAnsi="华文细黑" w:cs="华文细黑"/>
          <w:color w:val="333333"/>
        </w:rPr>
        <w:t>2</w:t>
      </w:r>
      <w:r>
        <w:rPr>
          <w:rFonts w:ascii="华文细黑" w:eastAsia="华文细黑" w:hAnsi="华文细黑" w:cs="华文细黑" w:hint="eastAsia"/>
          <w:color w:val="333333"/>
        </w:rPr>
        <w:t>条规定。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5.3 </w:t>
      </w:r>
      <w:r>
        <w:rPr>
          <w:rFonts w:ascii="华文细黑" w:eastAsia="华文细黑" w:hAnsi="华文细黑" w:cs="华文细黑" w:hint="eastAsia"/>
          <w:color w:val="333333"/>
        </w:rPr>
        <w:t>有便于到达的无障碍厕所，且无障碍厕所符合第</w:t>
      </w:r>
      <w:r>
        <w:rPr>
          <w:rFonts w:ascii="华文细黑" w:eastAsia="华文细黑" w:hAnsi="华文细黑" w:cs="华文细黑"/>
          <w:color w:val="333333"/>
        </w:rPr>
        <w:t>3</w:t>
      </w:r>
      <w:r>
        <w:rPr>
          <w:rFonts w:ascii="华文细黑" w:eastAsia="华文细黑" w:hAnsi="华文细黑" w:cs="华文细黑" w:hint="eastAsia"/>
          <w:color w:val="333333"/>
        </w:rPr>
        <w:t>条规定。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5.4 </w:t>
      </w:r>
      <w:r>
        <w:rPr>
          <w:rFonts w:ascii="华文细黑" w:eastAsia="华文细黑" w:hAnsi="华文细黑" w:cs="华文细黑" w:hint="eastAsia"/>
          <w:color w:val="333333"/>
        </w:rPr>
        <w:t>房的床面高度为</w:t>
      </w:r>
      <w:r>
        <w:rPr>
          <w:rFonts w:ascii="华文细黑" w:eastAsia="华文细黑" w:hAnsi="华文细黑" w:cs="华文细黑"/>
          <w:color w:val="333333"/>
        </w:rPr>
        <w:t>0.45m</w:t>
      </w:r>
      <w:r>
        <w:rPr>
          <w:rFonts w:ascii="华文细黑" w:eastAsia="华文细黑" w:hAnsi="华文细黑" w:cs="华文细黑" w:hint="eastAsia"/>
          <w:color w:val="333333"/>
        </w:rPr>
        <w:t>且床位之间留有直径不小于</w:t>
      </w:r>
      <w:r>
        <w:rPr>
          <w:rFonts w:ascii="华文细黑" w:eastAsia="华文细黑" w:hAnsi="华文细黑" w:cs="华文细黑"/>
          <w:color w:val="333333"/>
        </w:rPr>
        <w:t>1.50m</w:t>
      </w:r>
      <w:r>
        <w:rPr>
          <w:rFonts w:ascii="华文细黑" w:eastAsia="华文细黑" w:hAnsi="华文细黑" w:cs="华文细黑" w:hint="eastAsia"/>
          <w:color w:val="333333"/>
        </w:rPr>
        <w:t>的轮椅回旋空间。</w:t>
      </w:r>
    </w:p>
    <w:p w:rsidR="00066B0E" w:rsidRDefault="00066B0E" w:rsidP="00066B0E">
      <w:pPr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  5.5 </w:t>
      </w:r>
      <w:r>
        <w:rPr>
          <w:rFonts w:ascii="华文细黑" w:eastAsia="华文细黑" w:hAnsi="华文细黑" w:cs="华文细黑" w:hint="eastAsia"/>
          <w:color w:val="333333"/>
        </w:rPr>
        <w:t>有至少两间无障碍宿舍。</w:t>
      </w:r>
    </w:p>
    <w:p w:rsidR="00066B0E" w:rsidRPr="007745AA" w:rsidRDefault="00066B0E" w:rsidP="00066B0E">
      <w:pPr>
        <w:rPr>
          <w:rFonts w:ascii="华文细黑" w:eastAsia="华文细黑" w:hAnsi="华文细黑" w:cs="Times New Roman"/>
          <w:color w:val="333333"/>
        </w:rPr>
      </w:pPr>
    </w:p>
    <w:p w:rsidR="00066B0E" w:rsidRDefault="00066B0E" w:rsidP="00066B0E">
      <w:pPr>
        <w:rPr>
          <w:rFonts w:ascii="华文细黑" w:eastAsia="华文细黑" w:hAnsi="华文细黑" w:cs="Times New Roman"/>
          <w:b/>
          <w:bCs/>
        </w:rPr>
      </w:pPr>
      <w:r>
        <w:rPr>
          <w:rFonts w:ascii="华文细黑" w:eastAsia="华文细黑" w:hAnsi="华文细黑" w:cs="华文细黑"/>
          <w:b/>
          <w:bCs/>
        </w:rPr>
        <w:t>6-</w:t>
      </w:r>
      <w:r>
        <w:rPr>
          <w:rFonts w:ascii="华文细黑" w:eastAsia="华文细黑" w:hAnsi="华文细黑" w:cs="华文细黑" w:hint="eastAsia"/>
          <w:b/>
          <w:bCs/>
        </w:rPr>
        <w:t>无障碍标志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6.1 </w:t>
      </w:r>
      <w:r>
        <w:rPr>
          <w:rFonts w:ascii="华文细黑" w:eastAsia="华文细黑" w:hAnsi="华文细黑" w:cs="华文细黑" w:hint="eastAsia"/>
          <w:color w:val="333333"/>
        </w:rPr>
        <w:t>无障碍设施（无障碍通道、轮椅坡道、无障碍厕所、轮椅席位等）均有对应的标志牌。</w:t>
      </w:r>
    </w:p>
    <w:p w:rsidR="00066B0E" w:rsidRDefault="00066B0E" w:rsidP="00066B0E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6.2 </w:t>
      </w:r>
      <w:r>
        <w:rPr>
          <w:rFonts w:ascii="华文细黑" w:eastAsia="华文细黑" w:hAnsi="华文细黑" w:cs="华文细黑" w:hint="eastAsia"/>
          <w:color w:val="333333"/>
        </w:rPr>
        <w:t>有无障碍设施方向指示牌，为乘轮椅者指引可行进的室外通路和建筑物的室内走向。</w:t>
      </w:r>
    </w:p>
    <w:p w:rsidR="002867A4" w:rsidRPr="00780B00" w:rsidRDefault="00066B0E" w:rsidP="00780B00">
      <w:pPr>
        <w:ind w:leftChars="100" w:left="210"/>
        <w:rPr>
          <w:rFonts w:ascii="华文细黑" w:eastAsia="华文细黑" w:hAnsi="华文细黑" w:cs="Times New Roman"/>
          <w:color w:val="333333"/>
        </w:rPr>
      </w:pPr>
      <w:r>
        <w:rPr>
          <w:rFonts w:ascii="华文细黑" w:eastAsia="华文细黑" w:hAnsi="华文细黑" w:cs="华文细黑"/>
          <w:color w:val="333333"/>
        </w:rPr>
        <w:t xml:space="preserve">6.3 </w:t>
      </w:r>
      <w:r>
        <w:rPr>
          <w:rFonts w:ascii="华文细黑" w:eastAsia="华文细黑" w:hAnsi="华文细黑" w:cs="华文细黑" w:hint="eastAsia"/>
          <w:color w:val="333333"/>
        </w:rPr>
        <w:t>无障碍设施标志牌清晰可见且颜色与底衬对比鲜明。</w:t>
      </w:r>
    </w:p>
    <w:sectPr w:rsidR="002867A4" w:rsidRPr="00780B00" w:rsidSect="00292F0C">
      <w:headerReference w:type="default" r:id="rId9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12" w:rsidRDefault="00254212" w:rsidP="00066B0E">
      <w:r>
        <w:separator/>
      </w:r>
    </w:p>
  </w:endnote>
  <w:endnote w:type="continuationSeparator" w:id="0">
    <w:p w:rsidR="00254212" w:rsidRDefault="00254212" w:rsidP="000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12" w:rsidRDefault="00254212" w:rsidP="00066B0E">
      <w:r>
        <w:separator/>
      </w:r>
    </w:p>
  </w:footnote>
  <w:footnote w:type="continuationSeparator" w:id="0">
    <w:p w:rsidR="00254212" w:rsidRDefault="00254212" w:rsidP="00066B0E">
      <w:r>
        <w:continuationSeparator/>
      </w:r>
    </w:p>
  </w:footnote>
  <w:footnote w:id="1">
    <w:p w:rsidR="0002742D" w:rsidRDefault="0002742D">
      <w:pPr>
        <w:pStyle w:val="a6"/>
      </w:pPr>
      <w:r>
        <w:rPr>
          <w:rStyle w:val="a7"/>
        </w:rPr>
        <w:footnoteRef/>
      </w:r>
      <w:r>
        <w:rPr>
          <w:rFonts w:cs="宋体" w:hint="eastAsia"/>
          <w:sz w:val="15"/>
          <w:szCs w:val="15"/>
        </w:rPr>
        <w:t xml:space="preserve"> </w:t>
      </w:r>
      <w:r w:rsidR="00292F0C">
        <w:rPr>
          <w:rFonts w:cs="宋体" w:hint="eastAsia"/>
          <w:sz w:val="15"/>
          <w:szCs w:val="15"/>
        </w:rPr>
        <w:t>该无障碍设施改建标准</w:t>
      </w:r>
      <w:r>
        <w:rPr>
          <w:rFonts w:cs="宋体" w:hint="eastAsia"/>
          <w:sz w:val="15"/>
          <w:szCs w:val="15"/>
        </w:rPr>
        <w:t>参考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《无障碍设计规范》（</w:t>
      </w:r>
      <w:r>
        <w:rPr>
          <w:rFonts w:ascii="Arial" w:hAnsi="Arial" w:cs="Arial"/>
          <w:color w:val="000000"/>
          <w:kern w:val="36"/>
          <w:sz w:val="15"/>
          <w:szCs w:val="15"/>
        </w:rPr>
        <w:t>GB50763-2012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）第</w:t>
      </w:r>
      <w:r>
        <w:rPr>
          <w:rFonts w:ascii="Arial" w:hAnsi="Arial" w:cs="Arial"/>
          <w:color w:val="000000"/>
          <w:kern w:val="36"/>
          <w:sz w:val="15"/>
          <w:szCs w:val="15"/>
        </w:rPr>
        <w:t>3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部分</w:t>
      </w:r>
      <w:r>
        <w:rPr>
          <w:rFonts w:ascii="Arial" w:hAnsi="Arial" w:cs="宋体" w:hint="eastAsia"/>
          <w:i/>
          <w:iCs/>
          <w:color w:val="000000"/>
          <w:kern w:val="36"/>
          <w:sz w:val="15"/>
          <w:szCs w:val="15"/>
        </w:rPr>
        <w:t>无障碍设施的设计要求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及第</w:t>
      </w:r>
      <w:r>
        <w:rPr>
          <w:rFonts w:ascii="Arial" w:hAnsi="Arial" w:cs="Arial"/>
          <w:color w:val="000000"/>
          <w:kern w:val="36"/>
          <w:sz w:val="15"/>
          <w:szCs w:val="15"/>
        </w:rPr>
        <w:t>8.3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章</w:t>
      </w:r>
      <w:r>
        <w:rPr>
          <w:rFonts w:ascii="Arial" w:hAnsi="Arial" w:cs="宋体" w:hint="eastAsia"/>
          <w:i/>
          <w:iCs/>
          <w:color w:val="000000"/>
          <w:kern w:val="36"/>
          <w:sz w:val="15"/>
          <w:szCs w:val="15"/>
        </w:rPr>
        <w:t>教育建筑</w:t>
      </w:r>
      <w:r>
        <w:rPr>
          <w:rFonts w:ascii="Arial" w:hAnsi="Arial" w:cs="宋体" w:hint="eastAsia"/>
          <w:color w:val="000000"/>
          <w:kern w:val="36"/>
          <w:sz w:val="15"/>
          <w:szCs w:val="15"/>
        </w:rPr>
        <w:t>部分</w:t>
      </w:r>
      <w:r>
        <w:rPr>
          <w:rFonts w:cs="宋体" w:hint="eastAsia"/>
          <w:color w:val="333333"/>
          <w:sz w:val="15"/>
          <w:szCs w:val="15"/>
        </w:rPr>
        <w:t>，</w:t>
      </w:r>
      <w:r w:rsidR="00292F0C">
        <w:rPr>
          <w:rFonts w:cs="宋体" w:hint="eastAsia"/>
          <w:color w:val="333333"/>
          <w:sz w:val="15"/>
          <w:szCs w:val="15"/>
        </w:rPr>
        <w:t>经由</w:t>
      </w:r>
      <w:r>
        <w:rPr>
          <w:rFonts w:cs="宋体" w:hint="eastAsia"/>
          <w:color w:val="333333"/>
          <w:sz w:val="15"/>
          <w:szCs w:val="15"/>
        </w:rPr>
        <w:t>云南省建筑科学研究院修订。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0E" w:rsidRPr="00066B0E" w:rsidRDefault="00066B0E" w:rsidP="00066B0E">
    <w:pPr>
      <w:pStyle w:val="a3"/>
      <w:rPr>
        <w:rFonts w:cs="Times New Roman"/>
      </w:rPr>
    </w:pPr>
    <w:r>
      <w:rPr>
        <w:rFonts w:ascii="黑体" w:eastAsia="黑体" w:hAnsi="黑体" w:cs="黑体" w:hint="eastAsia"/>
        <w:b/>
        <w:bCs/>
        <w:sz w:val="21"/>
        <w:szCs w:val="21"/>
      </w:rPr>
      <w:t>救助儿童会</w:t>
    </w:r>
    <w:r>
      <w:rPr>
        <w:rFonts w:ascii="黑体" w:eastAsia="黑体" w:hAnsi="黑体" w:cs="黑体"/>
        <w:b/>
        <w:bCs/>
        <w:sz w:val="21"/>
        <w:szCs w:val="21"/>
      </w:rPr>
      <w:t>-</w:t>
    </w:r>
    <w:r>
      <w:rPr>
        <w:rFonts w:ascii="黑体" w:eastAsia="黑体" w:hAnsi="黑体" w:cs="黑体" w:hint="eastAsia"/>
        <w:b/>
        <w:bCs/>
        <w:sz w:val="21"/>
        <w:szCs w:val="21"/>
      </w:rPr>
      <w:t>全纳教育项目</w:t>
    </w:r>
    <w:r>
      <w:rPr>
        <w:rFonts w:ascii="黑体" w:eastAsia="黑体" w:hAnsi="黑体" w:cs="黑体"/>
        <w:b/>
        <w:bCs/>
        <w:sz w:val="21"/>
        <w:szCs w:val="21"/>
      </w:rPr>
      <w:t xml:space="preserve"> </w:t>
    </w:r>
    <w:r>
      <w:t xml:space="preserve">                                              </w:t>
    </w:r>
    <w:r>
      <w:rPr>
        <w:rFonts w:cs="Times New Roman"/>
        <w:noProof/>
      </w:rPr>
      <w:drawing>
        <wp:inline distT="0" distB="0" distL="0" distR="0" wp14:anchorId="7E7171FF" wp14:editId="612F5080">
          <wp:extent cx="965200" cy="254000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artE47E"/>
      </v:shape>
    </w:pict>
  </w:numPicBullet>
  <w:abstractNum w:abstractNumId="0">
    <w:nsid w:val="02326BF1"/>
    <w:multiLevelType w:val="hybridMultilevel"/>
    <w:tmpl w:val="929A9372"/>
    <w:lvl w:ilvl="0" w:tplc="040CB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A9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85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8B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AB8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CE3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CC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C4F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47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15"/>
    <w:rsid w:val="0002742D"/>
    <w:rsid w:val="00066B0E"/>
    <w:rsid w:val="00087EED"/>
    <w:rsid w:val="000A5924"/>
    <w:rsid w:val="001A5C53"/>
    <w:rsid w:val="00224165"/>
    <w:rsid w:val="00254212"/>
    <w:rsid w:val="00256DD7"/>
    <w:rsid w:val="002867A4"/>
    <w:rsid w:val="00292F0C"/>
    <w:rsid w:val="002B4F4D"/>
    <w:rsid w:val="003B0D4B"/>
    <w:rsid w:val="003B7FC5"/>
    <w:rsid w:val="006A3551"/>
    <w:rsid w:val="00701208"/>
    <w:rsid w:val="00745F05"/>
    <w:rsid w:val="007745AA"/>
    <w:rsid w:val="00780B00"/>
    <w:rsid w:val="007A4D2F"/>
    <w:rsid w:val="007F64BF"/>
    <w:rsid w:val="00832CAE"/>
    <w:rsid w:val="008642D3"/>
    <w:rsid w:val="00927E36"/>
    <w:rsid w:val="009672CB"/>
    <w:rsid w:val="009752EC"/>
    <w:rsid w:val="00A46A83"/>
    <w:rsid w:val="00A77E15"/>
    <w:rsid w:val="00B83089"/>
    <w:rsid w:val="00BB3321"/>
    <w:rsid w:val="00CC2199"/>
    <w:rsid w:val="00CC4DDD"/>
    <w:rsid w:val="00CF77DD"/>
    <w:rsid w:val="00D020EF"/>
    <w:rsid w:val="00F0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B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B0E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2742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2742D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2742D"/>
    <w:rPr>
      <w:vertAlign w:val="superscript"/>
    </w:rPr>
  </w:style>
  <w:style w:type="paragraph" w:styleId="a8">
    <w:name w:val="List Paragraph"/>
    <w:basedOn w:val="a"/>
    <w:uiPriority w:val="34"/>
    <w:qFormat/>
    <w:rsid w:val="00D020E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B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B0E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2742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2742D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2742D"/>
    <w:rPr>
      <w:vertAlign w:val="superscript"/>
    </w:rPr>
  </w:style>
  <w:style w:type="paragraph" w:styleId="a8">
    <w:name w:val="List Paragraph"/>
    <w:basedOn w:val="a"/>
    <w:uiPriority w:val="34"/>
    <w:qFormat/>
    <w:rsid w:val="00D020E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803F-556A-4A9C-84DB-E336F7B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Save the Children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</dc:creator>
  <cp:lastModifiedBy>SheYanxia</cp:lastModifiedBy>
  <cp:revision>2</cp:revision>
  <dcterms:created xsi:type="dcterms:W3CDTF">2016-10-14T04:17:00Z</dcterms:created>
  <dcterms:modified xsi:type="dcterms:W3CDTF">2016-10-14T04:17:00Z</dcterms:modified>
</cp:coreProperties>
</file>